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3373" w:rsidR="00F63373" w:rsidP="00085A01" w:rsidRDefault="00F63373" w14:paraId="5095F80D" w14:textId="15362FAA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Pr="00F63373">
        <w:rPr>
          <w:rFonts w:ascii="Arial" w:hAnsi="Arial" w:cs="Arial"/>
          <w:bCs/>
          <w:sz w:val="28"/>
          <w:szCs w:val="28"/>
        </w:rPr>
        <w:t>Childcare practice procedures</w:t>
      </w:r>
    </w:p>
    <w:p w:rsidRPr="00F63373" w:rsidR="004B7E3E" w:rsidP="00085A01" w:rsidRDefault="00827C2A" w14:paraId="7635043A" w14:textId="7E5619E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Pr="00F63373" w:rsidR="00F0174C">
        <w:rPr>
          <w:rFonts w:ascii="Arial" w:hAnsi="Arial" w:cs="Arial"/>
          <w:b/>
          <w:sz w:val="28"/>
          <w:szCs w:val="28"/>
        </w:rPr>
        <w:t>9.</w:t>
      </w:r>
      <w:r w:rsidRPr="00F63373" w:rsidR="007771A9">
        <w:rPr>
          <w:rFonts w:ascii="Arial" w:hAnsi="Arial" w:cs="Arial"/>
          <w:b/>
          <w:sz w:val="28"/>
          <w:szCs w:val="28"/>
        </w:rPr>
        <w:t>9</w:t>
      </w:r>
      <w:r w:rsidRPr="00F63373" w:rsidR="004B7E3E">
        <w:rPr>
          <w:rFonts w:ascii="Arial" w:hAnsi="Arial" w:cs="Arial"/>
          <w:b/>
          <w:sz w:val="28"/>
          <w:szCs w:val="28"/>
        </w:rPr>
        <w:tab/>
      </w:r>
      <w:r w:rsidRPr="00F63373" w:rsidR="004B7E3E">
        <w:rPr>
          <w:rFonts w:ascii="Arial" w:hAnsi="Arial" w:cs="Arial"/>
          <w:b/>
          <w:sz w:val="28"/>
          <w:szCs w:val="28"/>
        </w:rPr>
        <w:t xml:space="preserve">Prime </w:t>
      </w:r>
      <w:r w:rsidRPr="00F63373" w:rsidR="001D06FC">
        <w:rPr>
          <w:rFonts w:ascii="Arial" w:hAnsi="Arial" w:cs="Arial"/>
          <w:b/>
          <w:sz w:val="28"/>
          <w:szCs w:val="28"/>
        </w:rPr>
        <w:t>t</w:t>
      </w:r>
      <w:r w:rsidRPr="00F63373" w:rsidR="004B7E3E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Pr="00F63373" w:rsidR="004B7E3E">
        <w:rPr>
          <w:rFonts w:ascii="Arial" w:hAnsi="Arial" w:cs="Arial"/>
          <w:b/>
          <w:sz w:val="28"/>
          <w:szCs w:val="28"/>
        </w:rPr>
        <w:t>ntimate care</w:t>
      </w:r>
      <w:r w:rsidRPr="00F63373" w:rsidR="001D06FC">
        <w:rPr>
          <w:rFonts w:ascii="Arial" w:hAnsi="Arial" w:cs="Arial"/>
          <w:b/>
          <w:sz w:val="28"/>
          <w:szCs w:val="28"/>
        </w:rPr>
        <w:t xml:space="preserve"> and</w:t>
      </w:r>
      <w:r w:rsidRPr="00F63373" w:rsidR="004B7E3E">
        <w:rPr>
          <w:rFonts w:ascii="Arial" w:hAnsi="Arial" w:cs="Arial"/>
          <w:b/>
          <w:sz w:val="28"/>
          <w:szCs w:val="28"/>
        </w:rPr>
        <w:t xml:space="preserve"> nappy changing</w:t>
      </w:r>
    </w:p>
    <w:p w:rsidRPr="00F63373" w:rsidR="004B7E3E" w:rsidP="00085A01" w:rsidRDefault="004B7E3E" w14:paraId="4A7954AE" w14:textId="138A56E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Pr="00085A01" w:rsidR="00827C2A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:rsidRPr="00085A01" w:rsidR="00AC216E" w:rsidP="66B5338E" w:rsidRDefault="00AC216E" w14:paraId="24AB642E" w14:textId="5BE1DCA9">
      <w:p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</w:p>
    <w:p w:rsidRPr="00085A01" w:rsidR="004874E7" w:rsidP="10EDC02D" w:rsidRDefault="00D93284" w14:paraId="06C91096" w14:textId="41AD57D7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D93284">
        <w:rPr>
          <w:rFonts w:cs="Arial"/>
        </w:rPr>
        <w:t xml:space="preserve">Young children are </w:t>
      </w:r>
      <w:r w:rsidRPr="10EDC02D" w:rsidR="47F8FD5B">
        <w:rPr>
          <w:rFonts w:cs="Arial"/>
        </w:rPr>
        <w:t xml:space="preserve">usually </w:t>
      </w:r>
      <w:r w:rsidRPr="10EDC02D" w:rsidR="00D93284">
        <w:rPr>
          <w:rFonts w:cs="Arial"/>
        </w:rPr>
        <w:t>changed within</w:t>
      </w:r>
      <w:r w:rsidRPr="10EDC02D" w:rsidR="6D55D29E">
        <w:rPr>
          <w:rFonts w:cs="Arial"/>
        </w:rPr>
        <w:t xml:space="preserve"> sight or hearing</w:t>
      </w:r>
      <w:r w:rsidRPr="10EDC02D" w:rsidR="008E70A9">
        <w:rPr>
          <w:rFonts w:cs="Arial"/>
        </w:rPr>
        <w:t xml:space="preserve"> </w:t>
      </w:r>
      <w:r w:rsidRPr="10EDC02D" w:rsidR="00D93284">
        <w:rPr>
          <w:rFonts w:cs="Arial"/>
        </w:rPr>
        <w:t xml:space="preserve">of other staff whilst </w:t>
      </w:r>
      <w:proofErr w:type="gramStart"/>
      <w:r w:rsidRPr="10EDC02D" w:rsidR="00D93284">
        <w:rPr>
          <w:rFonts w:cs="Arial"/>
        </w:rPr>
        <w:t>maintaining their di</w:t>
      </w:r>
      <w:r w:rsidRPr="10EDC02D" w:rsidR="004874E7">
        <w:rPr>
          <w:rFonts w:cs="Arial"/>
        </w:rPr>
        <w:t>gnity and privacy at all times</w:t>
      </w:r>
      <w:proofErr w:type="gramEnd"/>
      <w:r w:rsidRPr="10EDC02D" w:rsidR="754CA9B6">
        <w:rPr>
          <w:rFonts w:cs="Arial"/>
        </w:rPr>
        <w:t xml:space="preserve">. Where the layout of the setting makes this difficult to </w:t>
      </w:r>
      <w:r w:rsidRPr="10EDC02D" w:rsidR="3BCFC9AB">
        <w:rPr>
          <w:rFonts w:cs="Arial"/>
        </w:rPr>
        <w:t>achieve</w:t>
      </w:r>
      <w:r w:rsidRPr="10EDC02D" w:rsidR="754CA9B6">
        <w:rPr>
          <w:rFonts w:cs="Arial"/>
        </w:rPr>
        <w:t xml:space="preserve">, the </w:t>
      </w:r>
      <w:r w:rsidRPr="10EDC02D" w:rsidR="00BF62B8">
        <w:rPr>
          <w:rFonts w:cs="Arial"/>
        </w:rPr>
        <w:t xml:space="preserve">setting </w:t>
      </w:r>
      <w:r w:rsidRPr="10EDC02D" w:rsidR="754CA9B6">
        <w:rPr>
          <w:rFonts w:cs="Arial"/>
        </w:rPr>
        <w:t>managers completes a risk assessment to</w:t>
      </w:r>
      <w:r w:rsidRPr="10EDC02D" w:rsidR="46230F4D">
        <w:rPr>
          <w:rFonts w:cs="Arial"/>
        </w:rPr>
        <w:t xml:space="preserve"> ensure that alternative arrangements are in place</w:t>
      </w:r>
      <w:r w:rsidRPr="10EDC02D" w:rsidR="0AB83AE0">
        <w:rPr>
          <w:rFonts w:cs="Arial"/>
        </w:rPr>
        <w:t xml:space="preserve"> </w:t>
      </w:r>
    </w:p>
    <w:p w:rsidRPr="00085A01" w:rsidR="004B7E3E" w:rsidP="66B5338E" w:rsidRDefault="004B7E3E" w14:paraId="6C3711FB" w14:textId="302980C1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66B5338E" w:rsidR="004B7E3E">
        <w:rPr>
          <w:rFonts w:cs="Arial"/>
        </w:rPr>
        <w:t xml:space="preserve">Key persons have a list of personalised changing or checking times for the </w:t>
      </w:r>
      <w:r w:rsidRPr="66B5338E" w:rsidR="3C71DE51">
        <w:rPr>
          <w:rFonts w:cs="Arial"/>
        </w:rPr>
        <w:t>children</w:t>
      </w:r>
      <w:r w:rsidRPr="66B5338E" w:rsidR="004B7E3E">
        <w:rPr>
          <w:rFonts w:cs="Arial"/>
        </w:rPr>
        <w:t xml:space="preserve"> in their care. </w:t>
      </w:r>
    </w:p>
    <w:p w:rsidRPr="00085A01" w:rsidR="004B7E3E" w:rsidP="66B5338E" w:rsidRDefault="004B7E3E" w14:paraId="046515C7" w14:textId="05EAF922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66B5338E" w:rsidR="004B7E3E">
        <w:rPr>
          <w:rFonts w:cs="Arial"/>
        </w:rPr>
        <w:t xml:space="preserve">Key persons undertake changing </w:t>
      </w:r>
      <w:r w:rsidRPr="66B5338E" w:rsidR="503B1C0A">
        <w:rPr>
          <w:rFonts w:cs="Arial"/>
        </w:rPr>
        <w:t>children</w:t>
      </w:r>
      <w:r w:rsidRPr="66B5338E" w:rsidR="004B7E3E">
        <w:rPr>
          <w:rFonts w:cs="Arial"/>
        </w:rPr>
        <w:t xml:space="preserve"> in their key groups wherever possible; back up key persons change them if the key person is absent.</w:t>
      </w:r>
    </w:p>
    <w:p w:rsidRPr="00085A01" w:rsidR="004B7E3E" w:rsidP="10EDC02D" w:rsidRDefault="004B7E3E" w14:paraId="4800C055" w14:textId="3E217818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66B5338E" w:rsidR="004B7E3E">
        <w:rPr>
          <w:rFonts w:cs="Arial"/>
        </w:rPr>
        <w:t xml:space="preserve">Nappy changing areas are warm; there are no bright lights shining down in </w:t>
      </w:r>
      <w:r w:rsidRPr="66B5338E" w:rsidR="75621EC2">
        <w:rPr>
          <w:rFonts w:cs="Arial"/>
        </w:rPr>
        <w:t>children's</w:t>
      </w:r>
      <w:r w:rsidRPr="66B5338E" w:rsidR="004B7E3E">
        <w:rPr>
          <w:rFonts w:cs="Arial"/>
        </w:rPr>
        <w:t xml:space="preserve"> eyes.</w:t>
      </w:r>
    </w:p>
    <w:p w:rsidRPr="00085A01" w:rsidR="004B7E3E" w:rsidP="10EDC02D" w:rsidRDefault="004B7E3E" w14:paraId="17F25CAF" w14:textId="4CF73A42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4B7E3E">
        <w:rPr>
          <w:rFonts w:cs="Arial"/>
        </w:rPr>
        <w:t>There are mobiles or other objects of interest to take the children attention.</w:t>
      </w:r>
    </w:p>
    <w:p w:rsidRPr="00085A01" w:rsidR="004B7E3E" w:rsidP="10EDC02D" w:rsidRDefault="004B7E3E" w14:paraId="7B81D384" w14:textId="71609FE7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4B7E3E">
        <w:rPr>
          <w:rFonts w:cs="Arial"/>
        </w:rPr>
        <w:t>Each baby has their own bag to hand, containing their nappies and changing wipes; there may also be a special toy for the baby to play with.</w:t>
      </w:r>
    </w:p>
    <w:p w:rsidRPr="00085A01" w:rsidR="004B7E3E" w:rsidP="00085A01" w:rsidRDefault="004B7E3E" w14:paraId="7D82C1B8" w14:textId="326CF40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 put on aprons before changing starts and the area is prepared</w:t>
      </w:r>
      <w:r w:rsidRPr="00085A01" w:rsidR="003937F9">
        <w:rPr>
          <w:rFonts w:cs="Arial"/>
          <w:szCs w:val="22"/>
        </w:rPr>
        <w:t>, gloves are always worn for soiled nappies.</w:t>
      </w:r>
      <w:r w:rsidRPr="00085A01">
        <w:rPr>
          <w:rFonts w:cs="Arial"/>
          <w:szCs w:val="22"/>
        </w:rPr>
        <w:t xml:space="preserve"> </w:t>
      </w:r>
    </w:p>
    <w:p w:rsidRPr="00085A01" w:rsidR="004B7E3E" w:rsidP="00085A01" w:rsidRDefault="004B7E3E" w14:paraId="722C01D9" w14:textId="7777777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All members of staff are familiar with the hygiene procedures and carry these out when changing nappies.</w:t>
      </w:r>
    </w:p>
    <w:p w:rsidRPr="00085A01" w:rsidR="004B7E3E" w:rsidP="10EDC02D" w:rsidRDefault="00167CA0" w14:paraId="43F060A2" w14:textId="0ABFD5B0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167CA0">
        <w:rPr>
          <w:rFonts w:cs="Arial"/>
        </w:rPr>
        <w:t>K</w:t>
      </w:r>
      <w:r w:rsidRPr="10EDC02D" w:rsidR="004B7E3E">
        <w:rPr>
          <w:rFonts w:cs="Arial"/>
        </w:rPr>
        <w:t xml:space="preserve">ey persons ensure that nappy changing is relaxed and a happy time for children. </w:t>
      </w:r>
    </w:p>
    <w:p w:rsidRPr="00085A01" w:rsidR="004B7E3E" w:rsidP="00085A01" w:rsidRDefault="004B7E3E" w14:paraId="378109D4" w14:textId="7777777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never turn their back on a child or leave </w:t>
      </w:r>
      <w:r w:rsidRPr="00085A01" w:rsidR="008456B5">
        <w:rPr>
          <w:rFonts w:cs="Arial"/>
          <w:szCs w:val="22"/>
        </w:rPr>
        <w:t xml:space="preserve">them unattended </w:t>
      </w:r>
      <w:r w:rsidRPr="00085A01">
        <w:rPr>
          <w:rFonts w:cs="Arial"/>
          <w:szCs w:val="22"/>
        </w:rPr>
        <w:t>on a changing mat.</w:t>
      </w:r>
    </w:p>
    <w:p w:rsidRPr="00085A01" w:rsidR="004B7E3E" w:rsidP="10EDC02D" w:rsidRDefault="004B7E3E" w14:paraId="08902086" w14:textId="1C1DD11E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4B7E3E">
        <w:rPr>
          <w:rFonts w:cs="Arial"/>
        </w:rPr>
        <w:t>Key persons are gentle when changing; they allow time for communicating with the baby, talking, and responding. They allow time for play and ‘rituals’ that the child enjoys.</w:t>
      </w:r>
    </w:p>
    <w:p w:rsidRPr="00085A01" w:rsidR="004B7E3E" w:rsidP="00085A01" w:rsidRDefault="004B7E3E" w14:paraId="2698BE87" w14:textId="54E3B442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avoid pulling faces and making negative comment about</w:t>
      </w:r>
      <w:r w:rsidRPr="00085A01" w:rsidR="00C5034E">
        <w:rPr>
          <w:rFonts w:cs="Arial"/>
          <w:szCs w:val="22"/>
        </w:rPr>
        <w:t xml:space="preserve"> the</w:t>
      </w:r>
      <w:r w:rsidRPr="00085A01">
        <w:rPr>
          <w:rFonts w:cs="Arial"/>
          <w:szCs w:val="22"/>
        </w:rPr>
        <w:t xml:space="preserve"> nappy contents. </w:t>
      </w:r>
    </w:p>
    <w:p w:rsidRPr="00085A01" w:rsidR="004B7E3E" w:rsidP="10EDC02D" w:rsidRDefault="004B7E3E" w14:paraId="1F984B16" w14:textId="195EB492">
      <w:pPr>
        <w:pStyle w:val="ListParagraph"/>
        <w:numPr>
          <w:ilvl w:val="0"/>
          <w:numId w:val="64"/>
        </w:numPr>
        <w:spacing w:before="120" w:after="120" w:line="360" w:lineRule="auto"/>
        <w:rPr>
          <w:rFonts w:cs="Arial"/>
        </w:rPr>
      </w:pPr>
      <w:r w:rsidRPr="10EDC02D" w:rsidR="004B7E3E">
        <w:rPr>
          <w:rFonts w:cs="Arial"/>
        </w:rPr>
        <w:t xml:space="preserve">Key persons do not make inappropriate comments about </w:t>
      </w:r>
      <w:r w:rsidRPr="10EDC02D" w:rsidR="004B7E3E">
        <w:rPr>
          <w:rFonts w:cs="Arial"/>
        </w:rPr>
        <w:t>children's</w:t>
      </w:r>
      <w:r w:rsidRPr="10EDC02D" w:rsidR="004B7E3E">
        <w:rPr>
          <w:rFonts w:cs="Arial"/>
        </w:rPr>
        <w:t xml:space="preserve"> genitals, nor attempt to pull back a baby boy’s foreskin to clean unless there is a genuine need to do so for hygiene purposes. </w:t>
      </w:r>
    </w:p>
    <w:p w:rsidRPr="00085A01" w:rsidR="00AC216E" w:rsidP="00085A01" w:rsidRDefault="00AC216E" w14:paraId="6ADF80C9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Pr="00085A01" w:rsidR="00746FC0">
        <w:rPr>
          <w:rFonts w:ascii="Arial" w:hAnsi="Arial" w:cs="Arial"/>
          <w:b/>
          <w:sz w:val="22"/>
          <w:szCs w:val="22"/>
        </w:rPr>
        <w:t>, intimate care and toileting</w:t>
      </w:r>
    </w:p>
    <w:p w:rsidRPr="00085A01" w:rsidR="00AC216E" w:rsidP="00085A01" w:rsidRDefault="00AC216E" w14:paraId="4687B9C2" w14:textId="77777777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:rsidRPr="00085A01" w:rsidR="00AC216E" w:rsidP="00085A01" w:rsidRDefault="00AC216E" w14:paraId="4665ED01" w14:textId="79364C05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:rsidRPr="00085A01" w:rsidR="00AC216E" w:rsidP="00085A01" w:rsidRDefault="00AC216E" w14:paraId="08C2A217" w14:textId="640D1292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Pr="00085A01" w:rsidR="006B095F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mobiles or other objects of interest to take the child’s attention.</w:t>
      </w:r>
    </w:p>
    <w:p w:rsidRPr="00085A01" w:rsidR="006B095F" w:rsidP="00085A01" w:rsidRDefault="006B095F" w14:paraId="648E688B" w14:textId="1C6AD69F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:rsidRPr="00085A01" w:rsidR="00AC216E" w:rsidP="10EDC02D" w:rsidRDefault="00AC216E" w14:paraId="2147F0AE" w14:textId="31CBC504">
      <w:pPr>
        <w:pStyle w:val="ListParagraph"/>
        <w:numPr>
          <w:ilvl w:val="0"/>
          <w:numId w:val="62"/>
        </w:numPr>
        <w:spacing w:before="120" w:after="120" w:line="360" w:lineRule="auto"/>
        <w:rPr>
          <w:rFonts w:cs="Arial"/>
        </w:rPr>
      </w:pPr>
      <w:r w:rsidRPr="10EDC02D" w:rsidR="00AC216E">
        <w:rPr>
          <w:rFonts w:cs="Arial"/>
        </w:rPr>
        <w:t>Each young child has his/her own bag to hand with their nappies/pull ups and changing wipes.</w:t>
      </w:r>
    </w:p>
    <w:p w:rsidRPr="00085A01" w:rsidR="00AC216E" w:rsidP="00085A01" w:rsidRDefault="00A52807" w14:paraId="6C51F2ED" w14:textId="330F5D4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Pr="00085A01" w:rsidR="00AC216E">
        <w:rPr>
          <w:rFonts w:cs="Arial"/>
          <w:szCs w:val="22"/>
        </w:rPr>
        <w:t>ey persons ensure that nappy changing is relaxed and a time to promote independence in young children.</w:t>
      </w:r>
    </w:p>
    <w:p w:rsidRPr="00085A01" w:rsidR="00AC216E" w:rsidP="00085A01" w:rsidRDefault="00AC216E" w14:paraId="0B7BB9D3" w14:textId="77777777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:rsidRPr="00085A01" w:rsidR="00AC216E" w:rsidP="00085A01" w:rsidRDefault="00B2176E" w14:paraId="37F3DC84" w14:textId="77777777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They are </w:t>
      </w:r>
      <w:r w:rsidRPr="00085A01" w:rsidR="00AC216E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:rsidRPr="00085A01" w:rsidR="00AC216E" w:rsidP="00085A01" w:rsidRDefault="00AC216E" w14:paraId="2EAF2F2A" w14:textId="059F026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:rsidRPr="00085A01" w:rsidR="006B095F" w:rsidP="00085A01" w:rsidRDefault="00AC216E" w14:paraId="07D68637" w14:textId="4A636942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Pr="00085A01" w:rsidR="007D5185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Pr="00085A01" w:rsidR="00F0089D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:rsidRPr="00085A01" w:rsidR="00AC216E" w:rsidP="00085A01" w:rsidRDefault="00AC216E" w14:paraId="05AFBFDF" w14:textId="25439A0A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or cotton wool and water are used to clean the child. Where cultural practices involve children being washed and dried with towels</w:t>
      </w:r>
      <w:r w:rsidRPr="00085A01" w:rsidR="00F0089D">
        <w:rPr>
          <w:rFonts w:cs="Arial"/>
          <w:szCs w:val="22"/>
        </w:rPr>
        <w:t>,</w:t>
      </w:r>
      <w:r w:rsidRPr="00085A01" w:rsidR="006B095F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Pr="00085A01" w:rsidR="006B095F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Pr="00085A01" w:rsidR="00FF4D86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Pr="00085A01" w:rsidR="00FF4D86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Pr="00085A01" w:rsidR="007B34A9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:rsidRPr="00085A01" w:rsidR="00AC216E" w:rsidP="00085A01" w:rsidRDefault="00AC216E" w14:paraId="18733EF9" w14:textId="34A5877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Pr="00085A01" w:rsidR="007B34A9">
        <w:rPr>
          <w:rFonts w:cs="Arial"/>
          <w:szCs w:val="22"/>
        </w:rPr>
        <w:t>.</w:t>
      </w:r>
    </w:p>
    <w:p w:rsidRPr="00085A01" w:rsidR="00AC216E" w:rsidP="10EDC02D" w:rsidRDefault="00AC216E" w14:paraId="59189D32" w14:textId="405FBE43">
      <w:pPr>
        <w:pStyle w:val="ListParagraph"/>
        <w:numPr>
          <w:ilvl w:val="0"/>
          <w:numId w:val="62"/>
        </w:numPr>
        <w:spacing w:before="120" w:after="120" w:line="360" w:lineRule="auto"/>
        <w:rPr>
          <w:rFonts w:cs="Arial"/>
        </w:rPr>
      </w:pPr>
      <w:r w:rsidRPr="10EDC02D" w:rsidR="00AC216E">
        <w:rPr>
          <w:rFonts w:cs="Arial"/>
        </w:rPr>
        <w:t>The procedure for dealing with sore bottoms is the same as that for babies. Any creams used should be recorded in the Medication book.</w:t>
      </w:r>
    </w:p>
    <w:p w:rsidRPr="00085A01" w:rsidR="00AC216E" w:rsidP="00085A01" w:rsidRDefault="00AC216E" w14:paraId="5A343C94" w14:textId="63118320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Pr="00085A01" w:rsidR="007C71F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:rsidRPr="00085A01" w:rsidR="00AC216E" w:rsidP="00085A01" w:rsidRDefault="00AC216E" w14:paraId="6E91ECDB" w14:textId="77777777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:rsidRPr="00085A01" w:rsidR="00AC216E" w:rsidP="00085A01" w:rsidRDefault="00AC216E" w14:paraId="4D05D38F" w14:textId="6142D8A8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Pr="00085A01" w:rsidR="00946015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Pr="00085A01" w:rsidR="007C71F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Pr="00085A01" w:rsidR="00E274DB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:rsidRPr="00085A01" w:rsidR="00766C5D" w:rsidP="00085A01" w:rsidRDefault="00766C5D" w14:paraId="5F4184CE" w14:textId="77777777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:rsidRPr="00085A01" w:rsidR="00B705C6" w:rsidP="10EDC02D" w:rsidRDefault="00167CA0" w14:paraId="6411A1ED" w14:textId="7747E427">
      <w:pPr>
        <w:pStyle w:val="ListParagraph"/>
        <w:numPr>
          <w:ilvl w:val="0"/>
          <w:numId w:val="62"/>
        </w:numPr>
        <w:spacing w:before="120" w:after="120" w:line="360" w:lineRule="auto"/>
        <w:rPr>
          <w:rFonts w:cs="Arial"/>
        </w:rPr>
      </w:pPr>
      <w:r w:rsidRPr="10EDC02D" w:rsidR="00167CA0">
        <w:rPr>
          <w:rFonts w:cs="Arial"/>
        </w:rPr>
        <w:t>If spare clothes are kept by the setting, they</w:t>
      </w:r>
      <w:r w:rsidRPr="10EDC02D" w:rsidR="00214A05">
        <w:rPr>
          <w:rFonts w:cs="Arial"/>
        </w:rPr>
        <w:t xml:space="preserve"> </w:t>
      </w:r>
      <w:r w:rsidRPr="10EDC02D" w:rsidR="00214A05">
        <w:rPr>
          <w:rFonts w:cs="Arial"/>
        </w:rPr>
        <w:t>are</w:t>
      </w:r>
      <w:r w:rsidRPr="10EDC02D" w:rsidR="00167CA0">
        <w:rPr>
          <w:rFonts w:cs="Arial"/>
        </w:rPr>
        <w:t xml:space="preserve"> clea</w:t>
      </w:r>
      <w:r w:rsidRPr="10EDC02D" w:rsidR="00061BEF">
        <w:rPr>
          <w:rFonts w:cs="Arial"/>
        </w:rPr>
        <w:t>n</w:t>
      </w:r>
      <w:r w:rsidRPr="10EDC02D" w:rsidR="00061BEF">
        <w:rPr>
          <w:rFonts w:cs="Arial"/>
        </w:rPr>
        <w:t xml:space="preserve">, in good condition and are in a range of </w:t>
      </w:r>
      <w:r w:rsidRPr="10EDC02D" w:rsidR="00766C5D">
        <w:rPr>
          <w:rFonts w:cs="Arial"/>
        </w:rPr>
        <w:t>appropriate sizes</w:t>
      </w:r>
      <w:r w:rsidRPr="10EDC02D" w:rsidR="00C45F2B">
        <w:rPr>
          <w:rFonts w:cs="Arial"/>
        </w:rPr>
        <w:t>.</w:t>
      </w:r>
    </w:p>
    <w:p w:rsidRPr="00085A01" w:rsidR="004B7E3E" w:rsidP="00085A01" w:rsidRDefault="00B705C6" w14:paraId="104243BA" w14:textId="1471D97E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Pr="00085A01" w:rsidR="00AC216E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:rsidRPr="00085A01" w:rsidR="00161D3D" w:rsidP="000E405D" w:rsidRDefault="00B705C6" w14:paraId="4BD602BE" w14:textId="79901A3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Pr="00085A01" w:rsidR="003C55BA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Pr="00085A01" w:rsidR="00161D3D" w:rsidSect="000E405D">
      <w:footerReference w:type="default" r:id="rId12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2EE" w:rsidP="003C7A9F" w:rsidRDefault="004802EE" w14:paraId="33D4396F" w14:textId="77777777">
      <w:r>
        <w:separator/>
      </w:r>
    </w:p>
  </w:endnote>
  <w:endnote w:type="continuationSeparator" w:id="0">
    <w:p w:rsidR="004802EE" w:rsidP="003C7A9F" w:rsidRDefault="004802EE" w14:paraId="38A26F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15F1" w:rsidR="003331BD" w:rsidP="003E15F1" w:rsidRDefault="003331BD" w14:paraId="2D8300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2EE" w:rsidP="003C7A9F" w:rsidRDefault="004802EE" w14:paraId="1873CB97" w14:textId="77777777">
      <w:r>
        <w:separator/>
      </w:r>
    </w:p>
  </w:footnote>
  <w:footnote w:type="continuationSeparator" w:id="0">
    <w:p w:rsidR="004802EE" w:rsidP="003C7A9F" w:rsidRDefault="004802EE" w14:paraId="5B8F3CC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1"/>
  </w:num>
  <w:num w:numId="2">
    <w:abstractNumId w:val="60"/>
  </w:num>
  <w:num w:numId="3">
    <w:abstractNumId w:val="72"/>
  </w:num>
  <w:num w:numId="4">
    <w:abstractNumId w:val="42"/>
  </w:num>
  <w:num w:numId="5">
    <w:abstractNumId w:val="35"/>
  </w:num>
  <w:num w:numId="6">
    <w:abstractNumId w:val="7"/>
  </w:num>
  <w:num w:numId="7">
    <w:abstractNumId w:val="51"/>
  </w:num>
  <w:num w:numId="8">
    <w:abstractNumId w:val="87"/>
  </w:num>
  <w:num w:numId="9">
    <w:abstractNumId w:val="89"/>
  </w:num>
  <w:num w:numId="10">
    <w:abstractNumId w:val="39"/>
  </w:num>
  <w:num w:numId="11">
    <w:abstractNumId w:val="19"/>
  </w:num>
  <w:num w:numId="12">
    <w:abstractNumId w:val="54"/>
  </w:num>
  <w:num w:numId="13">
    <w:abstractNumId w:val="28"/>
  </w:num>
  <w:num w:numId="14">
    <w:abstractNumId w:val="11"/>
  </w:num>
  <w:num w:numId="15">
    <w:abstractNumId w:val="17"/>
  </w:num>
  <w:num w:numId="16">
    <w:abstractNumId w:val="21"/>
  </w:num>
  <w:num w:numId="17">
    <w:abstractNumId w:val="49"/>
  </w:num>
  <w:num w:numId="18">
    <w:abstractNumId w:val="47"/>
  </w:num>
  <w:num w:numId="19">
    <w:abstractNumId w:val="4"/>
  </w:num>
  <w:num w:numId="20">
    <w:abstractNumId w:val="44"/>
  </w:num>
  <w:num w:numId="21">
    <w:abstractNumId w:val="86"/>
  </w:num>
  <w:num w:numId="22">
    <w:abstractNumId w:val="14"/>
  </w:num>
  <w:num w:numId="23">
    <w:abstractNumId w:val="81"/>
  </w:num>
  <w:num w:numId="24">
    <w:abstractNumId w:val="18"/>
  </w:num>
  <w:num w:numId="25">
    <w:abstractNumId w:val="83"/>
  </w:num>
  <w:num w:numId="26">
    <w:abstractNumId w:val="40"/>
  </w:num>
  <w:num w:numId="27">
    <w:abstractNumId w:val="45"/>
  </w:num>
  <w:num w:numId="28">
    <w:abstractNumId w:val="12"/>
  </w:num>
  <w:num w:numId="29">
    <w:abstractNumId w:val="3"/>
  </w:num>
  <w:num w:numId="30">
    <w:abstractNumId w:val="67"/>
  </w:num>
  <w:num w:numId="31">
    <w:abstractNumId w:val="52"/>
  </w:num>
  <w:num w:numId="32">
    <w:abstractNumId w:val="33"/>
  </w:num>
  <w:num w:numId="33">
    <w:abstractNumId w:val="9"/>
  </w:num>
  <w:num w:numId="34">
    <w:abstractNumId w:val="74"/>
  </w:num>
  <w:num w:numId="35">
    <w:abstractNumId w:val="30"/>
  </w:num>
  <w:num w:numId="36">
    <w:abstractNumId w:val="36"/>
  </w:num>
  <w:num w:numId="37">
    <w:abstractNumId w:val="64"/>
  </w:num>
  <w:num w:numId="38">
    <w:abstractNumId w:val="2"/>
  </w:num>
  <w:num w:numId="39">
    <w:abstractNumId w:val="43"/>
  </w:num>
  <w:num w:numId="40">
    <w:abstractNumId w:val="20"/>
  </w:num>
  <w:num w:numId="41">
    <w:abstractNumId w:val="41"/>
  </w:num>
  <w:num w:numId="42">
    <w:abstractNumId w:val="48"/>
  </w:num>
  <w:num w:numId="43">
    <w:abstractNumId w:val="69"/>
  </w:num>
  <w:num w:numId="44">
    <w:abstractNumId w:val="80"/>
  </w:num>
  <w:num w:numId="45">
    <w:abstractNumId w:val="10"/>
  </w:num>
  <w:num w:numId="46">
    <w:abstractNumId w:val="63"/>
  </w:num>
  <w:num w:numId="47">
    <w:abstractNumId w:val="57"/>
  </w:num>
  <w:num w:numId="48">
    <w:abstractNumId w:val="6"/>
  </w:num>
  <w:num w:numId="49">
    <w:abstractNumId w:val="76"/>
  </w:num>
  <w:num w:numId="50">
    <w:abstractNumId w:val="79"/>
  </w:num>
  <w:num w:numId="51">
    <w:abstractNumId w:val="65"/>
  </w:num>
  <w:num w:numId="52">
    <w:abstractNumId w:val="46"/>
  </w:num>
  <w:num w:numId="53">
    <w:abstractNumId w:val="70"/>
  </w:num>
  <w:num w:numId="54">
    <w:abstractNumId w:val="71"/>
  </w:num>
  <w:num w:numId="55">
    <w:abstractNumId w:val="77"/>
  </w:num>
  <w:num w:numId="56">
    <w:abstractNumId w:val="38"/>
  </w:num>
  <w:num w:numId="57">
    <w:abstractNumId w:val="15"/>
  </w:num>
  <w:num w:numId="58">
    <w:abstractNumId w:val="58"/>
  </w:num>
  <w:num w:numId="59">
    <w:abstractNumId w:val="88"/>
  </w:num>
  <w:num w:numId="60">
    <w:abstractNumId w:val="23"/>
  </w:num>
  <w:num w:numId="61">
    <w:abstractNumId w:val="29"/>
  </w:num>
  <w:num w:numId="62">
    <w:abstractNumId w:val="50"/>
  </w:num>
  <w:num w:numId="63">
    <w:abstractNumId w:val="16"/>
  </w:num>
  <w:num w:numId="64">
    <w:abstractNumId w:val="1"/>
  </w:num>
  <w:num w:numId="65">
    <w:abstractNumId w:val="75"/>
  </w:num>
  <w:num w:numId="66">
    <w:abstractNumId w:val="8"/>
  </w:num>
  <w:num w:numId="67">
    <w:abstractNumId w:val="27"/>
  </w:num>
  <w:num w:numId="68">
    <w:abstractNumId w:val="73"/>
  </w:num>
  <w:num w:numId="69">
    <w:abstractNumId w:val="66"/>
  </w:num>
  <w:num w:numId="70">
    <w:abstractNumId w:val="56"/>
  </w:num>
  <w:num w:numId="71">
    <w:abstractNumId w:val="55"/>
  </w:num>
  <w:num w:numId="72">
    <w:abstractNumId w:val="13"/>
  </w:num>
  <w:num w:numId="73">
    <w:abstractNumId w:val="84"/>
  </w:num>
  <w:num w:numId="74">
    <w:abstractNumId w:val="37"/>
  </w:num>
  <w:num w:numId="75">
    <w:abstractNumId w:val="5"/>
  </w:num>
  <w:num w:numId="76">
    <w:abstractNumId w:val="22"/>
  </w:num>
  <w:num w:numId="77">
    <w:abstractNumId w:val="24"/>
  </w:num>
  <w:num w:numId="78">
    <w:abstractNumId w:val="68"/>
  </w:num>
  <w:num w:numId="79">
    <w:abstractNumId w:val="82"/>
  </w:num>
  <w:num w:numId="80">
    <w:abstractNumId w:val="85"/>
  </w:num>
  <w:num w:numId="81">
    <w:abstractNumId w:val="53"/>
  </w:num>
  <w:num w:numId="82">
    <w:abstractNumId w:val="31"/>
  </w:num>
  <w:num w:numId="83">
    <w:abstractNumId w:val="26"/>
  </w:num>
  <w:num w:numId="84">
    <w:abstractNumId w:val="90"/>
  </w:num>
  <w:num w:numId="85">
    <w:abstractNumId w:val="78"/>
  </w:num>
  <w:num w:numId="86">
    <w:abstractNumId w:val="25"/>
  </w:num>
  <w:num w:numId="87">
    <w:abstractNumId w:val="34"/>
  </w:num>
  <w:num w:numId="88">
    <w:abstractNumId w:val="59"/>
  </w:num>
  <w:num w:numId="89">
    <w:abstractNumId w:val="32"/>
  </w:num>
  <w:num w:numId="90">
    <w:abstractNumId w:val="62"/>
  </w:num>
  <w:num w:numId="91">
    <w:abstractNumId w:val="0"/>
  </w:num>
  <w:numIdMacAtCleanup w:val="9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0586"/>
    <w:rsid w:val="0BA1A254"/>
    <w:rsid w:val="0BA7B4CA"/>
    <w:rsid w:val="0DC96F12"/>
    <w:rsid w:val="0FCC1BF8"/>
    <w:rsid w:val="105B4E4C"/>
    <w:rsid w:val="10DA3290"/>
    <w:rsid w:val="10EDC02D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2A7A1DE"/>
    <w:rsid w:val="23AA48B5"/>
    <w:rsid w:val="2443723F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C3E456C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4BAE71B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71DE51"/>
    <w:rsid w:val="3C839E15"/>
    <w:rsid w:val="3CC5F900"/>
    <w:rsid w:val="3CCE2860"/>
    <w:rsid w:val="3CD76919"/>
    <w:rsid w:val="3CE932E0"/>
    <w:rsid w:val="3E61C961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3B1C0A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25F8E4"/>
    <w:rsid w:val="54FF79A6"/>
    <w:rsid w:val="559A14C8"/>
    <w:rsid w:val="560111A3"/>
    <w:rsid w:val="564E721E"/>
    <w:rsid w:val="58360116"/>
    <w:rsid w:val="5888581D"/>
    <w:rsid w:val="5AA44C2C"/>
    <w:rsid w:val="5B18C037"/>
    <w:rsid w:val="5C17E26C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6B5338E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6D947E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5621EC2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B5E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styleId="BodyTextChar" w:customStyle="1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C7A9F"/>
    <w:rPr>
      <w:rFonts w:ascii="Tahoma" w:hAnsi="Tahoma" w:eastAsia="Times New Roman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A060B1"/>
    <w:rPr>
      <w:rFonts w:ascii="Times New Roman" w:hAnsi="Times New Roman" w:eastAsia="Times New Roman" w:cs="Times New Roman"/>
      <w:sz w:val="24"/>
    </w:rPr>
  </w:style>
  <w:style w:type="character" w:styleId="Heading2Char" w:customStyle="1">
    <w:name w:val="Heading 2 Char"/>
    <w:link w:val="Heading2"/>
    <w:uiPriority w:val="9"/>
    <w:semiHidden/>
    <w:rsid w:val="00A060B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semiHidden/>
    <w:rsid w:val="00A060B1"/>
    <w:rPr>
      <w:rFonts w:ascii="Cambria" w:hAnsi="Cambria" w:eastAsia="Times New Roman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styleId="BodyText2Char" w:customStyle="1">
    <w:name w:val="Body Text 2 Char"/>
    <w:link w:val="BodyText2"/>
    <w:rsid w:val="00A060B1"/>
    <w:rPr>
      <w:rFonts w:ascii="Times New Roman" w:hAnsi="Times New Roman" w:eastAsia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D08D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D08D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MediumList2-Accent21" w:customStyle="1">
    <w:name w:val="Medium List 2 - Accent 21"/>
    <w:hidden/>
    <w:uiPriority w:val="99"/>
    <w:semiHidden/>
    <w:rsid w:val="006E2307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hAnsi="Calibri" w:eastAsia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hAnsi="Calibri" w:eastAsia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/>
    <w:rsid w:val="00E05FBB"/>
    <w:rPr>
      <w:rFonts w:ascii="Tahoma" w:hAnsi="Tahoma" w:eastAsia="Times New Roman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hAnsi="Calibri" w:eastAsia="SimSun" w:cs="Times New Roman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hAnsi="Times New Roman" w:eastAsia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20</revision>
  <lastPrinted>2018-05-03T18:57:00.0000000Z</lastPrinted>
  <dcterms:created xsi:type="dcterms:W3CDTF">2022-02-01T10:11:00.0000000Z</dcterms:created>
  <dcterms:modified xsi:type="dcterms:W3CDTF">2022-08-22T17:16:10.9465125Z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